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BE" w:rsidRDefault="00CE10BE" w:rsidP="00CE10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Toc357592177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ЛЕКЦИЯ 5</w:t>
      </w:r>
    </w:p>
    <w:p w:rsidR="00CE10BE" w:rsidRDefault="00CE10BE" w:rsidP="00CE10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10BE" w:rsidRDefault="00CE10BE" w:rsidP="00CE10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10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Природа магнитной релаксации</w:t>
      </w:r>
      <w:bookmarkEnd w:id="0"/>
      <w:r w:rsidRPr="00CE10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E10BE" w:rsidRPr="00CE10BE" w:rsidRDefault="00CE10BE" w:rsidP="00CE10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10BE" w:rsidRPr="00CE10BE" w:rsidRDefault="00CE10BE" w:rsidP="00C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Для того чтобы механизм релаксации действовал эффективно,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</w:t>
      </w:r>
      <w:proofErr w:type="spellEnd"/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димо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выполнение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двух условий, т.е. должно существовать некоторое </w:t>
      </w:r>
      <w:r w:rsidRPr="00CE10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взаимодействие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которое:</w:t>
      </w:r>
    </w:p>
    <w:p w:rsidR="00CE10BE" w:rsidRPr="00CE10BE" w:rsidRDefault="00CE10BE" w:rsidP="00CE10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оказывает непосредственное влияние на спины;</w:t>
      </w:r>
    </w:p>
    <w:p w:rsidR="00CE10BE" w:rsidRPr="00CE10BE" w:rsidRDefault="00CE10BE" w:rsidP="00CE10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зависит от времени.</w:t>
      </w:r>
    </w:p>
    <w:p w:rsidR="00CE10BE" w:rsidRPr="00CE10BE" w:rsidRDefault="00CE10BE" w:rsidP="00C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Любое </w:t>
      </w:r>
      <w:r w:rsidRPr="00C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статическое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взаимодействие  влияет на положение и интенсивности спектральных линий, н</w:t>
      </w:r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уширяя их. Существует широкий ряд механизмов релаксации, пор</w:t>
      </w:r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ждаемых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известными типами ядерных взаимодействий в с</w:t>
      </w:r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четании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каждым из возможных типов движений (степеней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свобoды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). Большинство из механизмов обусловлено следующими причинами:</w:t>
      </w:r>
    </w:p>
    <w:p w:rsidR="00CE10BE" w:rsidRPr="00CE10BE" w:rsidRDefault="00CE10BE" w:rsidP="00CE10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E10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дипол</w:t>
      </w:r>
      <w:proofErr w:type="gramStart"/>
      <w:r w:rsidRPr="00CE10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ь-</w:t>
      </w:r>
      <w:proofErr w:type="gramEnd"/>
      <w:r w:rsidRPr="00CE10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дипольным взаимодействием магнитных ядер между собой;</w:t>
      </w:r>
    </w:p>
    <w:p w:rsidR="00CE10BE" w:rsidRPr="00CE10BE" w:rsidRDefault="00CE10BE" w:rsidP="00CE10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E10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флуктуацией локальных полей, обусловленных сильно анизотропным химическим сдвиг</w:t>
      </w:r>
      <w:proofErr w:type="gramStart"/>
      <w:r w:rsidRPr="00CE10BE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o</w:t>
      </w:r>
      <w:proofErr w:type="gramEnd"/>
      <w:r w:rsidRPr="00CE10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 в молекуле, совершающей хаотическое движение;</w:t>
      </w:r>
    </w:p>
    <w:p w:rsidR="00CE10BE" w:rsidRPr="00CE10BE" w:rsidRDefault="00CE10BE" w:rsidP="00CE10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E10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взаимодействием квадрупольных моментов ядер, имеющих спин б</w:t>
      </w:r>
      <w:proofErr w:type="gramStart"/>
      <w:r w:rsidRPr="00CE10BE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o</w:t>
      </w:r>
      <w:proofErr w:type="spellStart"/>
      <w:proofErr w:type="gramEnd"/>
      <w:r w:rsidRPr="00CE10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льше</w:t>
      </w:r>
      <w:proofErr w:type="spellEnd"/>
      <w:r w:rsidRPr="00CE10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1/2, с градиентами электрических полей, изменяющихся в</w:t>
      </w:r>
      <w:r w:rsidRPr="00CE10BE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o</w:t>
      </w:r>
      <w:r w:rsidRPr="00CE10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время молекулярного движения;</w:t>
      </w:r>
    </w:p>
    <w:p w:rsidR="00CE10BE" w:rsidRPr="00CE10BE" w:rsidRDefault="00CE10BE" w:rsidP="00CE10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E10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мощными магнитными полями, создаваемыми спинами неспаренных электрон</w:t>
      </w:r>
      <w:proofErr w:type="gramStart"/>
      <w:r w:rsidRPr="00CE10BE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o</w:t>
      </w:r>
      <w:proofErr w:type="gramEnd"/>
      <w:r w:rsidRPr="00CE10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 парамагнитных примесей в исследуемых образцах.</w:t>
      </w:r>
    </w:p>
    <w:p w:rsidR="00CE10BE" w:rsidRPr="00CE10BE" w:rsidRDefault="00CE10BE" w:rsidP="00C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Релаксационные процессы – </w:t>
      </w:r>
      <w:r w:rsidRPr="00C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обширная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C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сложная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бласть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магнитног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резонанса. Рассмотрим влияние </w:t>
      </w:r>
      <w:r w:rsidRPr="00C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квадрупольного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взаимод</w:t>
      </w:r>
      <w:proofErr w:type="spellEnd"/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йствия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, т.к. данный вид р</w:t>
      </w:r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лаксации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очень часто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оказыва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 существенное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влияни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спектры ЯМР многих веществ.</w:t>
      </w:r>
    </w:p>
    <w:p w:rsidR="00CE10BE" w:rsidRPr="00CE10BE" w:rsidRDefault="00CE10BE" w:rsidP="00C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Ядра со спином, превышающим 1/2 ,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обычн</w:t>
      </w:r>
      <w:proofErr w:type="spellEnd"/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имеют распределение ядерного заряда, не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имеюще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сферической симметрии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 результате такие ядра имеют </w:t>
      </w:r>
      <w:r w:rsidRPr="00C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квадрупольный момент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Q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Положительный или отрицательный знак </w:t>
      </w:r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Q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означает,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чт</w:t>
      </w:r>
      <w:proofErr w:type="spellEnd"/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заряд распределен относительно оси, совпадающей с направлением спина, в форме </w:t>
      </w:r>
      <w:r w:rsidRPr="00C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вытянутого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</w:t>
      </w:r>
      <w:r w:rsidRPr="00C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сплюснутого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эллипсоида вращения. Энергия ядра не зависит от его ориентации в однородном электрическом поле, т.к. ядра не обладают электрическим дипольным моментом. При наличии градиента 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электрического поля квадрупольные моменты </w:t>
      </w:r>
      <w:proofErr w:type="spellStart"/>
      <w:r w:rsidRPr="00C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прецессируют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вызывают </w:t>
      </w:r>
      <w:r w:rsidRPr="00C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сдвиг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магнитных уровней ядер. Энергия квадрупольного взаимодействия может иметь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</w:t>
      </w:r>
      <w:proofErr w:type="spellEnd"/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ния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пренебрежимо малых до значит</w:t>
      </w:r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льно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превышающих ядерные дипольные магнитные взаимодействия.</w:t>
      </w:r>
    </w:p>
    <w:p w:rsidR="00CE10BE" w:rsidRPr="00CE10BE" w:rsidRDefault="00CE10BE" w:rsidP="00C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Градиент электрического поля может создаваться как самой молекулой (вдоль связи), так и ее окружением в кристалле. Градиенты межмолекулярного электрического поля в жидкостях и газах п</w:t>
      </w:r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 действием броуновского движения </w:t>
      </w:r>
      <w:r w:rsidRPr="00C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приближается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нулю. Усредненное по времени такое взаимодействие </w:t>
      </w:r>
      <w:r w:rsidRPr="00C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превышает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магнитные взаимодействия. За счет этого, время спин- решеточной релаксации может уменьшаться до 10</w:t>
      </w:r>
      <w:r w:rsidRPr="00CE10B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-4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 Экспериментальное проявление квадрупольного взаимодействия 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св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дится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тому, что оно уширяет резонансные сигналы, а спи</w:t>
      </w:r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н-</w:t>
      </w:r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спин</w:t>
      </w:r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вое взаимодействие не проявляется в спектрах ЯМР.</w:t>
      </w:r>
    </w:p>
    <w:p w:rsidR="00CE10BE" w:rsidRPr="00CE10BE" w:rsidRDefault="00CE10BE" w:rsidP="00C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Если ядро, обладающее квадрупольным момент</w:t>
      </w:r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м, находится в достаточно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симм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тричном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окружении, то градиент электрического поля в месте нахождения ядра равен нулю и эффекты квадрупольного взаимодействия исключаются. Это дает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возм</w:t>
      </w:r>
      <w:proofErr w:type="spellEnd"/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жность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наблюдать спектры магнитного резонанса ядер, им</w:t>
      </w:r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ющих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значительные квадрупольные моменты, в кристаллах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кубич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ской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симметрии и в ионных растворах.   Сольватация может </w:t>
      </w:r>
      <w:r w:rsidRPr="00C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искажать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сферическую симметрию ионов и вести к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ушир</w:t>
      </w:r>
      <w:proofErr w:type="spellEnd"/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нию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линий вследствие появления квадрупольного вклада.                                                     </w:t>
      </w:r>
      <w:r w:rsidRPr="00C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</w:p>
    <w:p w:rsidR="00CE10BE" w:rsidRPr="00CE10BE" w:rsidRDefault="00CE10BE" w:rsidP="00CE10BE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E10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r w:rsidRPr="00CE10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</w:p>
    <w:p w:rsidR="00CE10BE" w:rsidRDefault="00CE10BE" w:rsidP="00CE10B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10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</w:t>
      </w:r>
      <w:bookmarkStart w:id="1" w:name="_Toc350253116"/>
      <w:bookmarkStart w:id="2" w:name="_Toc357592178"/>
      <w:r w:rsidRPr="00CE10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Спектроскопия ЯМР высокого разрешения</w:t>
      </w:r>
      <w:bookmarkEnd w:id="1"/>
      <w:bookmarkEnd w:id="2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E10BE" w:rsidRPr="00CE10BE" w:rsidRDefault="00CE10BE" w:rsidP="00CE10B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10BE" w:rsidRPr="00CE10BE" w:rsidRDefault="00CE10BE" w:rsidP="00C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Сущность явления ЯМР можно проиллюстрировать следующим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</w:t>
      </w:r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o</w:t>
      </w:r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Если ядро, обладающее магнитным моментом, помещено в однородное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o</w:t>
      </w:r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ле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H</w:t>
      </w:r>
      <w:r w:rsidRPr="00CE10B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0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 направленное по оси z, то его энергия равна -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D"/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zH</w:t>
      </w:r>
      <w:r w:rsidRPr="00CE10B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0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где 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D"/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z- проекция ядерного магнитного момента на 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направление 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поля.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Как уже отмечалось, ядро может находиться в 2</w:t>
      </w:r>
      <w:r w:rsidRPr="00CE10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I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+1 состояниях. При отсутствии внешнего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o</w:t>
      </w:r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ля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H</w:t>
      </w:r>
      <w:r w:rsidRPr="00CE10B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0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эти состояния имеют одинаковую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энeргию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Если обозначить наибольшее измеримое значение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</w:t>
      </w:r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o</w:t>
      </w:r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ненты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магнитного момента через 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D"/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то все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измeримые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значения компоненты магнитного момента (в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даннoм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случае 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D"/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z) выражаются в виде m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D"/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где m - квантовое число,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котoрое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может принимать, как известно, значения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m=</w:t>
      </w:r>
      <w:r w:rsidRPr="00CE10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I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CE10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I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–1,</w:t>
      </w:r>
      <w:r w:rsidRPr="00CE10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I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–2,…,-(</w:t>
      </w:r>
      <w:r w:rsidRPr="00CE10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I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+1),-</w:t>
      </w:r>
      <w:r w:rsidRPr="00CE10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I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Так как расстояние между уровнями энергии, соответствующими каждому из 2</w:t>
      </w:r>
      <w:r w:rsidRPr="00CE10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I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+1 состояний, равно mH</w:t>
      </w:r>
      <w:r w:rsidRPr="00CE10B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0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 </w:t>
      </w:r>
      <w:r w:rsidRPr="00CE10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I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то ядро со спином </w:t>
      </w:r>
      <w:r w:rsidRPr="00CE10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I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имеет дискретные уровни 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энергии: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D"/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H</w:t>
      </w:r>
      <w:r w:rsidRPr="00CE10B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0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,-(</w:t>
      </w:r>
      <w:r w:rsidRPr="00CE10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I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–1)/</w:t>
      </w:r>
      <w:r w:rsidRPr="00CE10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I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D"/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H</w:t>
      </w:r>
      <w:r w:rsidRPr="00CE10B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0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,…(</w:t>
      </w:r>
      <w:r w:rsidRPr="00CE10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I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–1)/</w:t>
      </w:r>
      <w:r w:rsidRPr="00CE10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I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D"/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H</w:t>
      </w:r>
      <w:r w:rsidRPr="00CE10B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0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D"/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H</w:t>
      </w:r>
      <w:r w:rsidRPr="00CE10B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0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Расщепление уровней энергии в магнитном поле можно назвать яд</w:t>
      </w:r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рным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зеемановским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расщеплением.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Зеемановское</w:t>
      </w:r>
      <w:proofErr w:type="spellEnd"/>
      <w:r w:rsidR="002A13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расщепление показано на рис.5. 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системы с </w:t>
      </w:r>
      <w:r w:rsidRPr="00C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I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=1 (с тремя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ур</w:t>
      </w:r>
      <w:proofErr w:type="spellEnd"/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внями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энергии).</w:t>
      </w:r>
    </w:p>
    <w:p w:rsidR="00CE10BE" w:rsidRPr="00CE10BE" w:rsidRDefault="00CE10BE" w:rsidP="00CE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</w:pPr>
    </w:p>
    <w:p w:rsidR="00CE10BE" w:rsidRPr="00CE10BE" w:rsidRDefault="00CE10BE" w:rsidP="00C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10BE">
        <w:rPr>
          <w:rFonts w:ascii="Times New Roman" w:eastAsia="Times New Roman" w:hAnsi="Times New Roman" w:cs="Times New Roman"/>
          <w:noProof/>
          <w:color w:val="0000CC"/>
          <w:sz w:val="32"/>
          <w:szCs w:val="32"/>
          <w:lang w:eastAsia="ru-RU"/>
        </w:rPr>
        <w:drawing>
          <wp:inline distT="0" distB="0" distL="0" distR="0" wp14:anchorId="4BBC1770" wp14:editId="09DC1253">
            <wp:extent cx="3810000" cy="1581150"/>
            <wp:effectExtent l="0" t="0" r="0" b="0"/>
            <wp:docPr id="1" name="Рисунок 1" descr="Зеемановское расщепление уровней энергии ядра в магнитном п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Зеемановское расщепление уровней энергии ядра в магнитном пол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0BE" w:rsidRPr="00CE10BE" w:rsidRDefault="002A13B1" w:rsidP="00CE1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Рис.5. </w:t>
      </w:r>
      <w:r w:rsidR="00CE10BE"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CE10BE"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Зеемановское</w:t>
      </w:r>
      <w:proofErr w:type="spellEnd"/>
      <w:r w:rsidR="00CE10BE"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расщепление уровней энергии ядра в   магнитном поле</w:t>
      </w:r>
    </w:p>
    <w:p w:rsidR="00CE10BE" w:rsidRPr="00CE10BE" w:rsidRDefault="00CE10BE" w:rsidP="00C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10BE" w:rsidRPr="00CE10BE" w:rsidRDefault="00CE10BE" w:rsidP="00CE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Явление ЯМР состоит в резонансном поглощении электромагнитной эн</w:t>
      </w:r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ргии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, обусловленном магнетизмом ядер. Отсюда вытекает очевидно</w:t>
      </w:r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название явления: </w:t>
      </w:r>
      <w:r w:rsidRPr="00C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ядерный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р</w:t>
      </w:r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чь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идет о системе ядер, </w:t>
      </w:r>
      <w:r w:rsidRPr="00C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магнитный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имеются в виду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их магнитные свойства, </w:t>
      </w:r>
      <w:r w:rsidRPr="00C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резонанс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сам</w:t>
      </w:r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явление носит резонансный характер. Действительно, из правил частот Бора следует, что частота   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ν электромагнитного поля, вызывающего переходы между соседними уровнями, определяется формулой:</w:t>
      </w:r>
    </w:p>
    <w:p w:rsidR="00CE10BE" w:rsidRPr="00CE10BE" w:rsidRDefault="00CE10BE" w:rsidP="00CE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13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ν</w:t>
      </w:r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=</w:t>
      </w:r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μ</w:t>
      </w:r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</w:t>
      </w:r>
      <w:r w:rsidRPr="00CE10BE"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0</w:t>
      </w:r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/</w:t>
      </w:r>
      <w:r w:rsidRPr="00CE10BE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I</w:t>
      </w:r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,  </w:t>
      </w:r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ab/>
        <w:t xml:space="preserve">    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</w:t>
      </w:r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</w:t>
      </w:r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ab/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ν</w:t>
      </w:r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=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μ</w:t>
      </w:r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</w:t>
      </w:r>
      <w:r w:rsidRPr="00CE10BE"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0</w:t>
      </w:r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/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</w:t>
      </w:r>
      <w:r w:rsidRPr="00CE10BE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I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</w:t>
      </w:r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 xml:space="preserve">      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 как векторы момента количества движения (углового момента) и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магнитн</w:t>
      </w:r>
      <w:proofErr w:type="spellEnd"/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го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момента параллельны, то часто удобно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характериз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вать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магнитны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свойства ядер величиной 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7"/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, определяемой соотношением</w:t>
      </w:r>
    </w:p>
    <w:p w:rsidR="00CE10BE" w:rsidRPr="00CE10BE" w:rsidRDefault="00CE10BE" w:rsidP="00C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D"/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3D"/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7"/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28"/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49"/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ħ),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где γ- гиромагнитное отношение, имеющее размерность </w:t>
      </w:r>
    </w:p>
    <w:p w:rsidR="00CE10BE" w:rsidRPr="00CE10BE" w:rsidRDefault="00CE10BE" w:rsidP="00CE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(рад*Э</w:t>
      </w:r>
      <w:r w:rsidRPr="00CE10B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-1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*с</w:t>
      </w:r>
      <w:r w:rsidRPr="00CE10B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-1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). С учетом этого найдем</w:t>
      </w:r>
    </w:p>
    <w:p w:rsidR="00CE10BE" w:rsidRPr="00CE10BE" w:rsidRDefault="00CE10BE" w:rsidP="00C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ν=γ</w:t>
      </w:r>
      <w:r w:rsidRPr="00CE10BE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5AB7A1DD" wp14:editId="51C97F77">
            <wp:extent cx="161925" cy="200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0B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/2π. </w:t>
      </w:r>
      <w:r w:rsidR="002A13B1">
        <w:rPr>
          <w:rFonts w:ascii="Times New Roman" w:eastAsia="Times New Roman" w:hAnsi="Times New Roman" w:cs="Times New Roman"/>
          <w:sz w:val="32"/>
          <w:szCs w:val="32"/>
          <w:lang w:eastAsia="ru-RU"/>
        </w:rPr>
        <w:t>(20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                                                                                                           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Таким образом, частота пропорциональна приложенному полю.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Если в качеств</w:t>
      </w:r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типичного примера взять значение 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7"/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протона, равное 2,6753*10</w:t>
      </w:r>
      <w:r w:rsidRPr="00CE10B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4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рад/(Э*с), и </w:t>
      </w:r>
      <w:r w:rsidRPr="00C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H</w:t>
      </w:r>
      <w:r w:rsidRPr="00CE10B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0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10000</w:t>
      </w:r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</w:t>
      </w:r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то резонансная частота 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ν=42.57(МГц). </w:t>
      </w:r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Такая частота может быть генерирована обычными радиотехническими</w:t>
      </w:r>
      <w:bookmarkStart w:id="3" w:name="_GoBack"/>
      <w:bookmarkEnd w:id="3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методами.</w:t>
      </w:r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Спектроскопия ЯМР характеризуется рядом особенностей, выделяющих е</w:t>
      </w:r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среди других аналитических методов. Около пол</w:t>
      </w:r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вины (</w:t>
      </w:r>
      <w:r w:rsidRPr="00CE10B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A2BCC73" wp14:editId="3D4F37E9">
            <wp:extent cx="85725" cy="38100"/>
            <wp:effectExtent l="0" t="0" r="9525" b="0"/>
            <wp:docPr id="3" name="Рисунок 3" descr="$\sim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$\sim$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150) ядер известных изотопов имеют магнитные мом</w:t>
      </w:r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нты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До появления спектрометров, работающих в импульсном режиме,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большинств</w:t>
      </w:r>
      <w:proofErr w:type="spellEnd"/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исследований выполнялось с использованием явления ЯМР на ядрах в</w:t>
      </w:r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дорода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(протонах) </w:t>
      </w:r>
      <w:r w:rsidRPr="00CE10B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1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H (протонный магнитный резонанс - ПМР) и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фт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ра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F"/>
        </w:smartTagPr>
        <w:r w:rsidRPr="00CE10BE">
          <w:rPr>
            <w:rFonts w:ascii="Times New Roman" w:eastAsia="Times New Roman" w:hAnsi="Times New Roman" w:cs="Times New Roman"/>
            <w:sz w:val="32"/>
            <w:szCs w:val="32"/>
            <w:vertAlign w:val="superscript"/>
            <w:lang w:eastAsia="ru-RU"/>
          </w:rPr>
          <w:t>19</w:t>
        </w:r>
        <w:r w:rsidRPr="00CE10B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F</w:t>
        </w:r>
      </w:smartTag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Эти ядра обладают идеальными для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сп</w:t>
      </w:r>
      <w:proofErr w:type="spellEnd"/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ктроскопии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ЯМР свойствами: </w:t>
      </w:r>
    </w:p>
    <w:p w:rsidR="00CE10BE" w:rsidRPr="00CE10BE" w:rsidRDefault="00CE10BE" w:rsidP="00C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-высокое естественное содержание "магнитного" изотопа                                                  (</w:t>
      </w:r>
      <w:r w:rsidRPr="00CE10B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1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H 99,98%, </w:t>
      </w:r>
      <w:smartTag w:uri="urn:schemas-microsoft-com:office:smarttags" w:element="metricconverter">
        <w:smartTagPr>
          <w:attr w:name="ProductID" w:val="19F"/>
        </w:smartTagPr>
        <w:r w:rsidRPr="00CE10BE">
          <w:rPr>
            <w:rFonts w:ascii="Times New Roman" w:eastAsia="Times New Roman" w:hAnsi="Times New Roman" w:cs="Times New Roman"/>
            <w:sz w:val="32"/>
            <w:szCs w:val="32"/>
            <w:vertAlign w:val="superscript"/>
            <w:lang w:eastAsia="ru-RU"/>
          </w:rPr>
          <w:t>19</w:t>
        </w:r>
        <w:r w:rsidRPr="00CE10B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F</w:t>
        </w:r>
      </w:smartTag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100%); для сравнения - естественное с</w:t>
      </w:r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держание "магнитного" изотопа углерода </w:t>
      </w:r>
      <w:smartTag w:uri="urn:schemas-microsoft-com:office:smarttags" w:element="metricconverter">
        <w:smartTagPr>
          <w:attr w:name="ProductID" w:val="13C"/>
        </w:smartTagPr>
        <w:r w:rsidRPr="00CE10BE">
          <w:rPr>
            <w:rFonts w:ascii="Times New Roman" w:eastAsia="Times New Roman" w:hAnsi="Times New Roman" w:cs="Times New Roman"/>
            <w:sz w:val="32"/>
            <w:szCs w:val="32"/>
            <w:vertAlign w:val="superscript"/>
            <w:lang w:eastAsia="ru-RU"/>
          </w:rPr>
          <w:t>13</w:t>
        </w:r>
        <w:r w:rsidRPr="00CE10B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C</w:t>
        </w:r>
      </w:smartTag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составляет 1,1%; </w:t>
      </w:r>
    </w:p>
    <w:p w:rsidR="00CE10BE" w:rsidRPr="00CE10BE" w:rsidRDefault="00CE10BE" w:rsidP="00C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- большой магнитный резонанс;</w:t>
      </w:r>
    </w:p>
    <w:p w:rsidR="00CE10BE" w:rsidRPr="00CE10BE" w:rsidRDefault="00CE10BE" w:rsidP="00C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-  спин </w:t>
      </w:r>
      <w:r w:rsidRPr="00CE10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I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1/2. </w:t>
      </w:r>
    </w:p>
    <w:p w:rsidR="00CE10BE" w:rsidRPr="00CE10BE" w:rsidRDefault="00CE10BE" w:rsidP="00C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Это обусловливает высокую чувствительность метода при дет</w:t>
      </w:r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ктировании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сигналов от указанных выше ядер.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Кр</w:t>
      </w:r>
      <w:proofErr w:type="spellEnd"/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ме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того, существует теоретически обоснованное правило, согласно которому только ядра с</w:t>
      </w:r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спином, равным или большим единицы, </w:t>
      </w:r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бладают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электрическим квадрупольным моментом. Следовательно, эксперименты п</w:t>
      </w:r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ЯМР </w:t>
      </w:r>
      <w:r w:rsidRPr="00CE10B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1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H и </w:t>
      </w:r>
      <w:smartTag w:uri="urn:schemas-microsoft-com:office:smarttags" w:element="metricconverter">
        <w:smartTagPr>
          <w:attr w:name="ProductID" w:val="19F"/>
        </w:smartTagPr>
        <w:r w:rsidRPr="00CE10BE">
          <w:rPr>
            <w:rFonts w:ascii="Times New Roman" w:eastAsia="Times New Roman" w:hAnsi="Times New Roman" w:cs="Times New Roman"/>
            <w:sz w:val="32"/>
            <w:szCs w:val="32"/>
            <w:vertAlign w:val="superscript"/>
            <w:lang w:eastAsia="ru-RU"/>
          </w:rPr>
          <w:t>19</w:t>
        </w:r>
        <w:r w:rsidRPr="00CE10B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F</w:t>
        </w:r>
      </w:smartTag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осложняются взаимодействием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ядерног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квадрупольного момента ядра с электрическим 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окружением. 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Внедрение импульсных спектрометров ЯМР в практику существенно расширило экспериментальные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возм</w:t>
      </w:r>
      <w:proofErr w:type="spellEnd"/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жности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этого вида спектроскопии. В частности, запись спектр</w:t>
      </w:r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ЯМР </w:t>
      </w:r>
      <w:smartTag w:uri="urn:schemas-microsoft-com:office:smarttags" w:element="metricconverter">
        <w:smartTagPr>
          <w:attr w:name="ProductID" w:val="13C"/>
        </w:smartTagPr>
        <w:r w:rsidRPr="00CE10BE">
          <w:rPr>
            <w:rFonts w:ascii="Times New Roman" w:eastAsia="Times New Roman" w:hAnsi="Times New Roman" w:cs="Times New Roman"/>
            <w:sz w:val="32"/>
            <w:szCs w:val="32"/>
            <w:vertAlign w:val="superscript"/>
            <w:lang w:eastAsia="ru-RU"/>
          </w:rPr>
          <w:t>13</w:t>
        </w:r>
        <w:r w:rsidRPr="00CE10B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C</w:t>
        </w:r>
      </w:smartTag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растворов - важнейшего для химии изотопа – т</w:t>
      </w:r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перь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является фактически привычной процедур</w:t>
      </w:r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й. Обычным явлением стало также детектирование сигналов </w:t>
      </w:r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т ядер, интенсивность сигналов ЯМР которых в</w:t>
      </w:r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много раз меньше интенсивности для сигналов от </w:t>
      </w:r>
      <w:r w:rsidRPr="00CE10B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1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H, в том числе и в твердой фазе.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Спектры ЯМР высокого разрешения обычно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</w:t>
      </w:r>
      <w:proofErr w:type="spellEnd"/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ят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узких, хорошо разрешенных линий, соответствующих магнитным ядрам в химическом окружении. Интенсивности сигналов при записи спектров пропорциональны числу магнитных яд</w:t>
      </w:r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р в каждой группировке. Это дает возможность проводить количеств</w:t>
      </w:r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нный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анализ п</w:t>
      </w:r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спектрам ЯМР без предварительной калибровки.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Еще одна особенность ЯМР - влияние обменных процесс</w:t>
      </w:r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в,  на 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положение и ширину резонансных сигналов. Так по спектрам ЯМР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</w:t>
      </w:r>
      <w:proofErr w:type="spellEnd"/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изучать природу таких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пр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цессов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Линии ЯМР в спектрах жидкостей обычно имеют ширину 0,1-1 Гц (ЯМР высокого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разреш</w:t>
      </w:r>
      <w:proofErr w:type="spellEnd"/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ния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в то время как те же самые ядра, исследуемые в твердой фазе, будут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обусл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вливать появление линий шириной порядка 1*10</w:t>
      </w:r>
      <w:r w:rsidRPr="00CE10B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4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Гц.</w:t>
      </w: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В спектроскопии ЯМР высокого разрешения имеются два главных 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</w:t>
      </w:r>
      <w:proofErr w:type="spellEnd"/>
      <w:proofErr w:type="gramStart"/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proofErr w:type="gram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чника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информации о строении и динамике мол</w:t>
      </w:r>
      <w:r w:rsidRPr="00CE10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</w:t>
      </w:r>
      <w:proofErr w:type="spellEnd"/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CE10BE" w:rsidRPr="00CE10BE" w:rsidRDefault="00CE10BE" w:rsidP="00C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-    химический сдвиг;</w:t>
      </w:r>
    </w:p>
    <w:p w:rsidR="00AB6EE3" w:rsidRDefault="00CE10BE" w:rsidP="00CE10BE">
      <w:r w:rsidRPr="00CE10BE">
        <w:rPr>
          <w:rFonts w:ascii="Times New Roman" w:eastAsia="Times New Roman" w:hAnsi="Times New Roman" w:cs="Times New Roman"/>
          <w:sz w:val="32"/>
          <w:szCs w:val="32"/>
          <w:lang w:eastAsia="ru-RU"/>
        </w:rPr>
        <w:t>-    константы спин-спинового взаимодействия</w:t>
      </w:r>
    </w:p>
    <w:sectPr w:rsidR="00AB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500EE"/>
    <w:multiLevelType w:val="hybridMultilevel"/>
    <w:tmpl w:val="837834A6"/>
    <w:lvl w:ilvl="0" w:tplc="F88CBBA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5"/>
    <w:rsid w:val="002A13B1"/>
    <w:rsid w:val="00AB6EE3"/>
    <w:rsid w:val="00CE10BE"/>
    <w:rsid w:val="00E9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1225</Words>
  <Characters>6988</Characters>
  <Application>Microsoft Office Word</Application>
  <DocSecurity>0</DocSecurity>
  <Lines>58</Lines>
  <Paragraphs>16</Paragraphs>
  <ScaleCrop>false</ScaleCrop>
  <Company/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2019-01-11T18:24:00Z</dcterms:created>
  <dcterms:modified xsi:type="dcterms:W3CDTF">2019-01-11T19:21:00Z</dcterms:modified>
</cp:coreProperties>
</file>